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8A54" w14:textId="77777777" w:rsidR="0077000E" w:rsidRPr="00E413C7" w:rsidRDefault="00000000">
      <w:pPr>
        <w:pStyle w:val="Heading1"/>
        <w:rPr>
          <w:lang w:val="de-DE"/>
        </w:rPr>
      </w:pPr>
      <w:r w:rsidRPr="00E413C7">
        <w:rPr>
          <w:lang w:val="de-DE"/>
        </w:rPr>
        <w:t>Modul 1: PESTEL-Analyse: Deutsche Bank AG (Live-Test)</w:t>
      </w:r>
    </w:p>
    <w:p w14:paraId="27E289E4" w14:textId="77777777" w:rsidR="0077000E" w:rsidRPr="00E413C7" w:rsidRDefault="00000000">
      <w:pPr>
        <w:rPr>
          <w:lang w:val="de-DE"/>
        </w:rPr>
      </w:pPr>
      <w:r w:rsidRPr="00E413C7">
        <w:rPr>
          <w:lang w:val="de-DE"/>
        </w:rPr>
        <w:t>Institut: Deutsche Bank AG | Jahr: 2026 | Modul: Makro-Ebene</w:t>
      </w:r>
    </w:p>
    <w:p w14:paraId="38D0AD58" w14:textId="77777777" w:rsidR="0077000E" w:rsidRDefault="00000000">
      <w:r>
        <w:t>---</w:t>
      </w:r>
    </w:p>
    <w:p w14:paraId="3896E7AE" w14:textId="77777777" w:rsidR="0077000E" w:rsidRDefault="00000000">
      <w:pPr>
        <w:pStyle w:val="Heading2"/>
      </w:pPr>
      <w:r>
        <w:t>Political</w:t>
      </w:r>
    </w:p>
    <w:p w14:paraId="1042C878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1: </w:t>
      </w:r>
      <w:r w:rsidRPr="00E413C7">
        <w:rPr>
          <w:lang w:val="de-DE"/>
        </w:rPr>
        <w:t>Intensivierung regulatorischer Aufsicht durch EU und BaFin mit Fokus auf systemrelevante Banken und strengere Stresstests</w:t>
      </w:r>
    </w:p>
    <w:p w14:paraId="6D11574B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2: </w:t>
      </w:r>
      <w:r w:rsidRPr="00E413C7">
        <w:rPr>
          <w:lang w:val="de-DE"/>
        </w:rPr>
        <w:t>Geopolitische Spannungen zwischen EU und China erhöhen Compliance-Anforderungen für grenzüberschreitende Kreditvergabe</w:t>
      </w:r>
    </w:p>
    <w:p w14:paraId="4D4EBED3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3: </w:t>
      </w:r>
      <w:r w:rsidRPr="00E413C7">
        <w:rPr>
          <w:lang w:val="de-DE"/>
        </w:rPr>
        <w:t>EU‑weite Initiative zur Harmonisierung der Klimaberichterstattung zwingt Banken zu verbindlichen ESG‑Zielen</w:t>
      </w:r>
    </w:p>
    <w:p w14:paraId="60FB71C0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4: </w:t>
      </w:r>
      <w:r w:rsidRPr="00E413C7">
        <w:rPr>
          <w:lang w:val="de-DE"/>
        </w:rPr>
        <w:t>Verschärfte Sanktionen gegen Russland und andere Hochrisikoländer reduzieren Kreditexposition und erfordern neue Risiko‑Modellierung</w:t>
      </w:r>
    </w:p>
    <w:p w14:paraId="2947CF6F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5: </w:t>
      </w:r>
      <w:r w:rsidRPr="00E413C7">
        <w:rPr>
          <w:lang w:val="de-DE"/>
        </w:rPr>
        <w:t>Politische Unterstützung für die Einführung des digitalen Euro beschleunigt Anforderungen an Zahlungsinfrastruktur und Interoperabilität</w:t>
      </w:r>
    </w:p>
    <w:p w14:paraId="42ED9264" w14:textId="77777777" w:rsidR="0077000E" w:rsidRPr="00E413C7" w:rsidRDefault="0077000E">
      <w:pPr>
        <w:rPr>
          <w:lang w:val="de-DE"/>
        </w:rPr>
      </w:pPr>
    </w:p>
    <w:p w14:paraId="2F15E198" w14:textId="77777777" w:rsidR="0077000E" w:rsidRDefault="00000000">
      <w:pPr>
        <w:pStyle w:val="Heading2"/>
      </w:pPr>
      <w:proofErr w:type="gramStart"/>
      <w:r>
        <w:t>Economic</w:t>
      </w:r>
      <w:proofErr w:type="gramEnd"/>
    </w:p>
    <w:p w14:paraId="757C40D5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1: </w:t>
      </w:r>
      <w:r w:rsidRPr="00E413C7">
        <w:rPr>
          <w:lang w:val="de-DE"/>
        </w:rPr>
        <w:t>Niedrigzinsumfeld bleibt bis 2028 bestehen, Druck auf Nettozinserträge und Verlagerung zu gebührenbasierten Erträgen</w:t>
      </w:r>
    </w:p>
    <w:p w14:paraId="3AD0298F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2: </w:t>
      </w:r>
      <w:r w:rsidRPr="00E413C7">
        <w:rPr>
          <w:lang w:val="de-DE"/>
        </w:rPr>
        <w:t>Anhaltende Inflation und steigende Arbeitskosten in der Eurozone erhöhen Kreditrisikoprämien und beeinflussen die Kreditnachfrage</w:t>
      </w:r>
    </w:p>
    <w:p w14:paraId="5ED7284A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3: </w:t>
      </w:r>
      <w:r w:rsidRPr="00E413C7">
        <w:rPr>
          <w:lang w:val="de-DE"/>
        </w:rPr>
        <w:t>Wachstum des europäischen Mittelstandes schafft neue Corporate‑Banking‑Opportunitäten, besonders in der Nachhaltigkeitsfinanzierung</w:t>
      </w:r>
    </w:p>
    <w:p w14:paraId="7F319AD0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4: </w:t>
      </w:r>
      <w:r w:rsidRPr="00E413C7">
        <w:rPr>
          <w:lang w:val="de-DE"/>
        </w:rPr>
        <w:t xml:space="preserve">Zunehmende Volatilität der Rohstoffpreise wirkt sich auf Handelsfinanzierung und </w:t>
      </w:r>
      <w:proofErr w:type="spellStart"/>
      <w:r w:rsidRPr="00E413C7">
        <w:rPr>
          <w:lang w:val="de-DE"/>
        </w:rPr>
        <w:t>Exposure</w:t>
      </w:r>
      <w:proofErr w:type="spellEnd"/>
      <w:r w:rsidRPr="00E413C7">
        <w:rPr>
          <w:lang w:val="de-DE"/>
        </w:rPr>
        <w:t xml:space="preserve"> gegenüber Schwellenländern aus</w:t>
      </w:r>
    </w:p>
    <w:p w14:paraId="2D0D0809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5: </w:t>
      </w:r>
      <w:r w:rsidRPr="00E413C7">
        <w:rPr>
          <w:lang w:val="de-DE"/>
        </w:rPr>
        <w:t>Digitalisierung des Zahlungsverkehrs führt zu Margendruck, ermöglicht aber skalierbare Plattform‑Geschäftsmodelle</w:t>
      </w:r>
    </w:p>
    <w:p w14:paraId="67FA1F74" w14:textId="77777777" w:rsidR="0077000E" w:rsidRPr="00E413C7" w:rsidRDefault="0077000E">
      <w:pPr>
        <w:rPr>
          <w:lang w:val="de-DE"/>
        </w:rPr>
      </w:pPr>
    </w:p>
    <w:p w14:paraId="01958B59" w14:textId="77777777" w:rsidR="0077000E" w:rsidRDefault="00000000">
      <w:pPr>
        <w:pStyle w:val="Heading2"/>
      </w:pPr>
      <w:r>
        <w:t>Social</w:t>
      </w:r>
    </w:p>
    <w:p w14:paraId="610F7F84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1: </w:t>
      </w:r>
      <w:r w:rsidRPr="00E413C7">
        <w:rPr>
          <w:lang w:val="de-DE"/>
        </w:rPr>
        <w:t>Kundenpräferenz für transparente, nachhaltige Finanzprodukte steigt und erfordert integrierte ESG‑Beratung</w:t>
      </w:r>
    </w:p>
    <w:p w14:paraId="2A9BCEE9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2: </w:t>
      </w:r>
      <w:r w:rsidRPr="00E413C7">
        <w:rPr>
          <w:lang w:val="de-DE"/>
        </w:rPr>
        <w:t>Demografischer Wandel in Deutschland erhöht den Bedarf an Vermögensverwaltung für ältere Generationen und Nachfolgeplanung</w:t>
      </w:r>
    </w:p>
    <w:p w14:paraId="365D8B6D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3: </w:t>
      </w:r>
      <w:r w:rsidRPr="00E413C7">
        <w:rPr>
          <w:lang w:val="de-DE"/>
        </w:rPr>
        <w:t>Zunahme von Finanzbildung und -bewusstsein bei Millennials treibt Nachfrage nach digitalen Self‑Service‑Lösungen</w:t>
      </w:r>
    </w:p>
    <w:p w14:paraId="3DBA92B7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4: </w:t>
      </w:r>
      <w:r w:rsidRPr="00E413C7">
        <w:rPr>
          <w:lang w:val="de-DE"/>
        </w:rPr>
        <w:t xml:space="preserve">Erwartung höherer </w:t>
      </w:r>
      <w:proofErr w:type="spellStart"/>
      <w:r w:rsidRPr="00E413C7">
        <w:rPr>
          <w:lang w:val="de-DE"/>
        </w:rPr>
        <w:t>Diversity</w:t>
      </w:r>
      <w:proofErr w:type="spellEnd"/>
      <w:r w:rsidRPr="00E413C7">
        <w:rPr>
          <w:lang w:val="de-DE"/>
        </w:rPr>
        <w:t xml:space="preserve"> und Inklusion in Führungsetagen beeinflusst Talentakquisition und Reputation</w:t>
      </w:r>
    </w:p>
    <w:p w14:paraId="399B4036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lastRenderedPageBreak/>
        <w:t xml:space="preserve">Punkt 5: </w:t>
      </w:r>
      <w:r w:rsidRPr="00E413C7">
        <w:rPr>
          <w:lang w:val="de-DE"/>
        </w:rPr>
        <w:t>Sozialer Druck auf Banken wegen historischer Finanzkrisen stärkt Forderungen nach stärkerer ethischer Unternehmensführung</w:t>
      </w:r>
    </w:p>
    <w:p w14:paraId="13FB2745" w14:textId="77777777" w:rsidR="0077000E" w:rsidRPr="00E413C7" w:rsidRDefault="0077000E">
      <w:pPr>
        <w:rPr>
          <w:lang w:val="de-DE"/>
        </w:rPr>
      </w:pPr>
    </w:p>
    <w:p w14:paraId="251E38C4" w14:textId="77777777" w:rsidR="0077000E" w:rsidRDefault="00000000">
      <w:pPr>
        <w:pStyle w:val="Heading2"/>
      </w:pPr>
      <w:r>
        <w:t>Technological</w:t>
      </w:r>
    </w:p>
    <w:p w14:paraId="1374819C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1: </w:t>
      </w:r>
      <w:r w:rsidRPr="00E413C7">
        <w:rPr>
          <w:lang w:val="de-DE"/>
        </w:rPr>
        <w:t>KI‑gestützte Kreditwürdigkeitsprüfung reduziert Bearbeitungszeiten, erfordert jedoch robuste Modell‑</w:t>
      </w:r>
      <w:proofErr w:type="spellStart"/>
      <w:r w:rsidRPr="00E413C7">
        <w:rPr>
          <w:lang w:val="de-DE"/>
        </w:rPr>
        <w:t>Governance</w:t>
      </w:r>
      <w:proofErr w:type="spellEnd"/>
    </w:p>
    <w:p w14:paraId="779CFF4E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2: </w:t>
      </w:r>
      <w:r w:rsidRPr="00E413C7">
        <w:rPr>
          <w:lang w:val="de-DE"/>
        </w:rPr>
        <w:t>Blockchain‑basierte Syndizierung von Krediten ermöglicht Echtzeit‑Tracking und Senkung von Transaktionskosten</w:t>
      </w:r>
    </w:p>
    <w:p w14:paraId="5CFB5808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3: </w:t>
      </w:r>
      <w:r w:rsidRPr="00E413C7">
        <w:rPr>
          <w:lang w:val="de-DE"/>
        </w:rPr>
        <w:t xml:space="preserve">Cloud‑Migration nach EU‑Datenschutz‑Standards erhöht Agilität, birgt aber neue </w:t>
      </w:r>
      <w:proofErr w:type="spellStart"/>
      <w:r w:rsidRPr="00E413C7">
        <w:rPr>
          <w:lang w:val="de-DE"/>
        </w:rPr>
        <w:t>Cyber</w:t>
      </w:r>
      <w:proofErr w:type="spellEnd"/>
      <w:r w:rsidRPr="00E413C7">
        <w:rPr>
          <w:lang w:val="de-DE"/>
        </w:rPr>
        <w:t>‑Risiken</w:t>
      </w:r>
    </w:p>
    <w:p w14:paraId="316D1F1F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4: </w:t>
      </w:r>
      <w:r w:rsidRPr="00E413C7">
        <w:rPr>
          <w:lang w:val="de-DE"/>
        </w:rPr>
        <w:t>Open‑Banking APIs fördern Kooperation mit FinTechs und schaffen neue Umsatzströme durch Daten‑Monetarisierung</w:t>
      </w:r>
    </w:p>
    <w:p w14:paraId="424FB789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5: </w:t>
      </w:r>
      <w:r w:rsidRPr="00E413C7">
        <w:rPr>
          <w:lang w:val="de-DE"/>
        </w:rPr>
        <w:t>Quanten‑Resistenz‑Strategien werden nötig, um kryptographische Sicherheit langfristig zu gewährleisten</w:t>
      </w:r>
    </w:p>
    <w:p w14:paraId="0740E35B" w14:textId="77777777" w:rsidR="0077000E" w:rsidRPr="00E413C7" w:rsidRDefault="0077000E">
      <w:pPr>
        <w:rPr>
          <w:lang w:val="de-DE"/>
        </w:rPr>
      </w:pPr>
    </w:p>
    <w:p w14:paraId="5F5ED2B4" w14:textId="77777777" w:rsidR="0077000E" w:rsidRDefault="00000000">
      <w:pPr>
        <w:pStyle w:val="Heading2"/>
      </w:pPr>
      <w:r>
        <w:t>Environmental</w:t>
      </w:r>
    </w:p>
    <w:p w14:paraId="53C62984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1: </w:t>
      </w:r>
      <w:r w:rsidRPr="00E413C7">
        <w:rPr>
          <w:lang w:val="de-DE"/>
        </w:rPr>
        <w:t>Strengere EU‑Taxonomie‑Kriterien erhöhen Reporting‑Aufwand, öffnen aber Zugang zu grün‑finanzierten Kapitalquellen</w:t>
      </w:r>
    </w:p>
    <w:p w14:paraId="74339CE5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2: </w:t>
      </w:r>
      <w:r w:rsidRPr="00E413C7">
        <w:rPr>
          <w:lang w:val="de-DE"/>
        </w:rPr>
        <w:t>Klimarisikomanagement wird zum Kernkriterium für Kreditvergabe, insbesondere im Immobilien‑ und Energiesektor</w:t>
      </w:r>
    </w:p>
    <w:p w14:paraId="7B16E543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3: </w:t>
      </w:r>
      <w:r w:rsidRPr="00E413C7">
        <w:rPr>
          <w:lang w:val="de-DE"/>
        </w:rPr>
        <w:t xml:space="preserve">Wachstum von Green‑Bond‑Emissionen bietet neue </w:t>
      </w:r>
      <w:proofErr w:type="spellStart"/>
      <w:r w:rsidRPr="00E413C7">
        <w:rPr>
          <w:lang w:val="de-DE"/>
        </w:rPr>
        <w:t>Underwriting</w:t>
      </w:r>
      <w:proofErr w:type="spellEnd"/>
      <w:r w:rsidRPr="00E413C7">
        <w:rPr>
          <w:lang w:val="de-DE"/>
        </w:rPr>
        <w:t>‑Geschäfte, erfordert spezialisierte Bewertungskompetenz</w:t>
      </w:r>
    </w:p>
    <w:p w14:paraId="38664715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4: </w:t>
      </w:r>
      <w:r w:rsidRPr="00E413C7">
        <w:rPr>
          <w:lang w:val="de-DE"/>
        </w:rPr>
        <w:t>Verpflichtung zu Netto‑Null bis 2050 zwingt die Bank, internen Energieverbrauch und CO₂‑Bilanz zu optimieren</w:t>
      </w:r>
    </w:p>
    <w:p w14:paraId="46C1C154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5: </w:t>
      </w:r>
      <w:r w:rsidRPr="00E413C7">
        <w:rPr>
          <w:lang w:val="de-DE"/>
        </w:rPr>
        <w:t xml:space="preserve">Investor‑ und Stakeholder‑Druck führt zur Integration von </w:t>
      </w:r>
      <w:proofErr w:type="spellStart"/>
      <w:r w:rsidRPr="00E413C7">
        <w:rPr>
          <w:lang w:val="de-DE"/>
        </w:rPr>
        <w:t>Biodiversitäts</w:t>
      </w:r>
      <w:proofErr w:type="spellEnd"/>
      <w:r w:rsidRPr="00E413C7">
        <w:rPr>
          <w:lang w:val="de-DE"/>
        </w:rPr>
        <w:t>‑ und Wasser‑Risiken in das Portfolio‑Management</w:t>
      </w:r>
    </w:p>
    <w:p w14:paraId="12227F0C" w14:textId="77777777" w:rsidR="0077000E" w:rsidRPr="00E413C7" w:rsidRDefault="0077000E">
      <w:pPr>
        <w:rPr>
          <w:lang w:val="de-DE"/>
        </w:rPr>
      </w:pPr>
    </w:p>
    <w:p w14:paraId="5070A66E" w14:textId="77777777" w:rsidR="0077000E" w:rsidRDefault="00000000">
      <w:pPr>
        <w:pStyle w:val="Heading2"/>
      </w:pPr>
      <w:r>
        <w:t>Legal</w:t>
      </w:r>
    </w:p>
    <w:p w14:paraId="0CADB736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1: </w:t>
      </w:r>
      <w:r w:rsidRPr="00E413C7">
        <w:rPr>
          <w:lang w:val="de-DE"/>
        </w:rPr>
        <w:t>Umsetzung der EU‑Verordnung über digitale Identitäten (</w:t>
      </w:r>
      <w:proofErr w:type="spellStart"/>
      <w:r w:rsidRPr="00E413C7">
        <w:rPr>
          <w:lang w:val="de-DE"/>
        </w:rPr>
        <w:t>eIDAS</w:t>
      </w:r>
      <w:proofErr w:type="spellEnd"/>
      <w:r w:rsidRPr="00E413C7">
        <w:rPr>
          <w:lang w:val="de-DE"/>
        </w:rPr>
        <w:t>) verlangt neue Compliance‑Frameworks für Kunden‑Onboarding</w:t>
      </w:r>
    </w:p>
    <w:p w14:paraId="7F5A3FA5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2: </w:t>
      </w:r>
      <w:r w:rsidRPr="00E413C7">
        <w:rPr>
          <w:lang w:val="de-DE"/>
        </w:rPr>
        <w:t>Verstärkte Durchsetzung von Geldwäschebekämpfung (AML) nach FATF‑Updates erhöht Monitoring‑Kosten</w:t>
      </w:r>
    </w:p>
    <w:p w14:paraId="4448A383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3: </w:t>
      </w:r>
      <w:r w:rsidRPr="00E413C7">
        <w:rPr>
          <w:lang w:val="de-DE"/>
        </w:rPr>
        <w:t>Rechtsstreitigkeiten rund um Datenschutz (DSGVO) führen zu höheren potenziellen Schadensersatzforderungen</w:t>
      </w:r>
    </w:p>
    <w:p w14:paraId="31B5BB1F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4: </w:t>
      </w:r>
      <w:r w:rsidRPr="00E413C7">
        <w:rPr>
          <w:lang w:val="de-DE"/>
        </w:rPr>
        <w:t xml:space="preserve">Anpassung an Basel‑IV‑Kapitalregeln reduziert Leverage‑Spielraum und erfordert Optimierung </w:t>
      </w:r>
      <w:proofErr w:type="gramStart"/>
      <w:r w:rsidRPr="00E413C7">
        <w:rPr>
          <w:lang w:val="de-DE"/>
        </w:rPr>
        <w:t>der Risiko</w:t>
      </w:r>
      <w:proofErr w:type="gramEnd"/>
      <w:r w:rsidRPr="00E413C7">
        <w:rPr>
          <w:lang w:val="de-DE"/>
        </w:rPr>
        <w:t>‑Gewichtung</w:t>
      </w:r>
    </w:p>
    <w:p w14:paraId="23D868A2" w14:textId="77777777" w:rsidR="0077000E" w:rsidRPr="00E413C7" w:rsidRDefault="00000000">
      <w:pPr>
        <w:pStyle w:val="ListBullet"/>
        <w:rPr>
          <w:lang w:val="de-DE"/>
        </w:rPr>
      </w:pPr>
      <w:r w:rsidRPr="00E413C7">
        <w:rPr>
          <w:b/>
          <w:lang w:val="de-DE"/>
        </w:rPr>
        <w:t xml:space="preserve">Punkt 5: </w:t>
      </w:r>
      <w:r w:rsidRPr="00E413C7">
        <w:rPr>
          <w:lang w:val="de-DE"/>
        </w:rPr>
        <w:t>Haftungsrisiken im Zusammenhang mit KI‑Entscheidungen erzeugen Bedarf an klaren rechtlichen Leitlinien und Audits</w:t>
      </w:r>
    </w:p>
    <w:p w14:paraId="4032D68F" w14:textId="77777777" w:rsidR="0077000E" w:rsidRPr="00E413C7" w:rsidRDefault="0077000E">
      <w:pPr>
        <w:rPr>
          <w:lang w:val="de-DE"/>
        </w:rPr>
      </w:pPr>
    </w:p>
    <w:sectPr w:rsidR="0077000E" w:rsidRPr="00E413C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C7A32" w14:textId="77777777" w:rsidR="00EA2A08" w:rsidRDefault="00EA2A08" w:rsidP="00E413C7">
      <w:pPr>
        <w:spacing w:after="0" w:line="240" w:lineRule="auto"/>
      </w:pPr>
      <w:r>
        <w:separator/>
      </w:r>
    </w:p>
  </w:endnote>
  <w:endnote w:type="continuationSeparator" w:id="0">
    <w:p w14:paraId="5875DA1B" w14:textId="77777777" w:rsidR="00EA2A08" w:rsidRDefault="00EA2A08" w:rsidP="00E41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1F73" w14:textId="77777777" w:rsidR="00E413C7" w:rsidRDefault="00E413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6771" w14:textId="77777777" w:rsidR="00E413C7" w:rsidRDefault="00E413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C4846" w14:textId="77777777" w:rsidR="00E413C7" w:rsidRDefault="00E41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D0C5B" w14:textId="77777777" w:rsidR="00EA2A08" w:rsidRDefault="00EA2A08" w:rsidP="00E413C7">
      <w:pPr>
        <w:spacing w:after="0" w:line="240" w:lineRule="auto"/>
      </w:pPr>
      <w:r>
        <w:separator/>
      </w:r>
    </w:p>
  </w:footnote>
  <w:footnote w:type="continuationSeparator" w:id="0">
    <w:p w14:paraId="48405FCE" w14:textId="77777777" w:rsidR="00EA2A08" w:rsidRDefault="00EA2A08" w:rsidP="00E41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6DD0" w14:textId="086D6C82" w:rsidR="00E413C7" w:rsidRDefault="00E413C7">
    <w:pPr>
      <w:pStyle w:val="Header"/>
    </w:pPr>
    <w:r>
      <w:rPr>
        <w:noProof/>
      </w:rPr>
      <w:pict w14:anchorId="29504B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73391" o:spid="_x0000_s1027" type="#_x0000_t136" style="position:absolute;margin-left:0;margin-top:0;width:473.75pt;height:135.35pt;rotation:315;z-index:-251655168;mso-position-horizontal:center;mso-position-horizontal-relative:margin;mso-position-vertical:center;mso-position-vertical-relative:margin" o:allowincell="f" fillcolor="#e5b8b7 [1301]" stroked="f">
          <v:fill opacity=".5"/>
          <v:textpath style="font-family:&quot;Cambria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C755" w14:textId="7F97A54E" w:rsidR="00E413C7" w:rsidRDefault="00E413C7">
    <w:pPr>
      <w:pStyle w:val="Header"/>
    </w:pPr>
    <w:r>
      <w:rPr>
        <w:noProof/>
      </w:rPr>
      <w:pict w14:anchorId="12E1E8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73392" o:spid="_x0000_s1028" type="#_x0000_t136" style="position:absolute;margin-left:0;margin-top:0;width:473.75pt;height:135.35pt;rotation:315;z-index:-251653120;mso-position-horizontal:center;mso-position-horizontal-relative:margin;mso-position-vertical:center;mso-position-vertical-relative:margin" o:allowincell="f" fillcolor="#e5b8b7 [1301]" stroked="f">
          <v:fill opacity=".5"/>
          <v:textpath style="font-family:&quot;Cambria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3ADB" w14:textId="14D6E020" w:rsidR="00E413C7" w:rsidRDefault="00E413C7">
    <w:pPr>
      <w:pStyle w:val="Header"/>
    </w:pPr>
    <w:r>
      <w:rPr>
        <w:noProof/>
      </w:rPr>
      <w:pict w14:anchorId="5E12DD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73390" o:spid="_x0000_s1026" type="#_x0000_t136" style="position:absolute;margin-left:0;margin-top:0;width:473.75pt;height:135.35pt;rotation:315;z-index:-251657216;mso-position-horizontal:center;mso-position-horizontal-relative:margin;mso-position-vertical:center;mso-position-vertical-relative:margin" o:allowincell="f" fillcolor="#e5b8b7 [1301]" stroked="f">
          <v:fill opacity=".5"/>
          <v:textpath style="font-family:&quot;Cambria&quot;;font-size:1p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6784649">
    <w:abstractNumId w:val="8"/>
  </w:num>
  <w:num w:numId="2" w16cid:durableId="1771194880">
    <w:abstractNumId w:val="6"/>
  </w:num>
  <w:num w:numId="3" w16cid:durableId="552154212">
    <w:abstractNumId w:val="5"/>
  </w:num>
  <w:num w:numId="4" w16cid:durableId="1608000839">
    <w:abstractNumId w:val="4"/>
  </w:num>
  <w:num w:numId="5" w16cid:durableId="1346175468">
    <w:abstractNumId w:val="7"/>
  </w:num>
  <w:num w:numId="6" w16cid:durableId="891111132">
    <w:abstractNumId w:val="3"/>
  </w:num>
  <w:num w:numId="7" w16cid:durableId="460269151">
    <w:abstractNumId w:val="2"/>
  </w:num>
  <w:num w:numId="8" w16cid:durableId="2080974351">
    <w:abstractNumId w:val="1"/>
  </w:num>
  <w:num w:numId="9" w16cid:durableId="171241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000E"/>
    <w:rsid w:val="00AA1D8D"/>
    <w:rsid w:val="00B47730"/>
    <w:rsid w:val="00CB0664"/>
    <w:rsid w:val="00CD7883"/>
    <w:rsid w:val="00E413C7"/>
    <w:rsid w:val="00EA2A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1AC6C6"/>
  <w14:defaultImageDpi w14:val="300"/>
  <w15:docId w15:val="{E3CBEE60-A5FA-4FEE-B61A-4F86380E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Annika Sill</cp:lastModifiedBy>
  <cp:revision>2</cp:revision>
  <dcterms:created xsi:type="dcterms:W3CDTF">2026-08-19T19:30:00Z</dcterms:created>
  <dcterms:modified xsi:type="dcterms:W3CDTF">2026-08-19T19:30:00Z</dcterms:modified>
  <cp:category/>
</cp:coreProperties>
</file>