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E00D0" w14:textId="77777777" w:rsidR="001916BB" w:rsidRPr="00412EA0" w:rsidRDefault="00000000">
      <w:pPr>
        <w:pStyle w:val="Heading1"/>
        <w:rPr>
          <w:lang w:val="de-DE"/>
        </w:rPr>
      </w:pPr>
      <w:r w:rsidRPr="00412EA0">
        <w:rPr>
          <w:lang w:val="de-DE"/>
        </w:rPr>
        <w:t>Modul 2: Mikro-Analyse: Deutsche Bank AG (Live-Test)</w:t>
      </w:r>
    </w:p>
    <w:p w14:paraId="09F231C3" w14:textId="77777777" w:rsidR="001916BB" w:rsidRPr="00412EA0" w:rsidRDefault="00000000">
      <w:pPr>
        <w:rPr>
          <w:lang w:val="de-DE"/>
        </w:rPr>
      </w:pPr>
      <w:r w:rsidRPr="00412EA0">
        <w:rPr>
          <w:lang w:val="de-DE"/>
        </w:rPr>
        <w:t>Institut: Deutsche Bank AG | Jahr: 2026 | SWOT, Wertschöpfungskette &amp; Porter's Five Forces</w:t>
      </w:r>
    </w:p>
    <w:p w14:paraId="2B6BC59B" w14:textId="77777777" w:rsidR="001916BB" w:rsidRDefault="00000000">
      <w:r>
        <w:t>---</w:t>
      </w:r>
    </w:p>
    <w:p w14:paraId="608894E3" w14:textId="77777777" w:rsidR="001916BB" w:rsidRDefault="00000000">
      <w:pPr>
        <w:pStyle w:val="Heading2"/>
      </w:pPr>
      <w:r>
        <w:t>SWOT Strengths</w:t>
      </w:r>
    </w:p>
    <w:p w14:paraId="72C4B08A" w14:textId="77777777" w:rsidR="001916BB" w:rsidRDefault="00000000">
      <w:pPr>
        <w:pStyle w:val="ListBullet"/>
      </w:pPr>
      <w:r>
        <w:rPr>
          <w:b/>
        </w:rPr>
        <w:t xml:space="preserve">Punkt 1: </w:t>
      </w:r>
      <w:r>
        <w:t>Diversifizierte Ertragsquellen über Retail, Corporate &amp; Investment Banking</w:t>
      </w:r>
    </w:p>
    <w:p w14:paraId="7EB5836F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Starkes globales Filialnetz in über 60 Ländern</w:t>
      </w:r>
    </w:p>
    <w:p w14:paraId="14802958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Erfolgreiche digitale Transformationsinitiativen mit KI‑gestützten Plattformen</w:t>
      </w:r>
    </w:p>
    <w:p w14:paraId="13BEDDBA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4: </w:t>
      </w:r>
      <w:r w:rsidRPr="00412EA0">
        <w:rPr>
          <w:lang w:val="de-DE"/>
        </w:rPr>
        <w:t>Verbesserte Kernkapitalquote (CET1 &gt;14%) nach regulatorischen Sanierungen</w:t>
      </w:r>
    </w:p>
    <w:p w14:paraId="1C4CEA5C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5: </w:t>
      </w:r>
      <w:r w:rsidRPr="00412EA0">
        <w:rPr>
          <w:lang w:val="de-DE"/>
        </w:rPr>
        <w:t>Robustes Risikomanagement‑Framework mit erweiterten Stress‑Testing‑Modellen</w:t>
      </w:r>
    </w:p>
    <w:p w14:paraId="4DC79154" w14:textId="77777777" w:rsidR="001916BB" w:rsidRPr="00412EA0" w:rsidRDefault="001916BB">
      <w:pPr>
        <w:rPr>
          <w:lang w:val="de-DE"/>
        </w:rPr>
      </w:pPr>
    </w:p>
    <w:p w14:paraId="7C1F2F69" w14:textId="77777777" w:rsidR="001916BB" w:rsidRDefault="00000000">
      <w:pPr>
        <w:pStyle w:val="Heading2"/>
      </w:pPr>
      <w:r>
        <w:t>SWOT Weaknesses</w:t>
      </w:r>
    </w:p>
    <w:p w14:paraId="536ABE90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1: </w:t>
      </w:r>
      <w:r w:rsidRPr="00412EA0">
        <w:rPr>
          <w:lang w:val="de-DE"/>
        </w:rPr>
        <w:t>Anhaltende Rechts- und Restrukturierungskosten aus vergangenen Rechtsstreitigkeiten</w:t>
      </w:r>
    </w:p>
    <w:p w14:paraId="411D780C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Hohe Kostenstruktur im Vergleich zu rein digitale Wettbewerber</w:t>
      </w:r>
    </w:p>
    <w:p w14:paraId="2293471E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Abhängigkeit vom europäischen Firmenkundengeschäft für über 40% des Gewinns</w:t>
      </w:r>
    </w:p>
    <w:p w14:paraId="071C0CD0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4: </w:t>
      </w:r>
      <w:r w:rsidRPr="00412EA0">
        <w:rPr>
          <w:lang w:val="de-DE"/>
        </w:rPr>
        <w:t>Integrationsrisiken aus der jüngsten Übernahme von FinTech‑Einheiten</w:t>
      </w:r>
    </w:p>
    <w:p w14:paraId="5A2442E8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5: </w:t>
      </w:r>
      <w:r w:rsidRPr="00412EA0">
        <w:rPr>
          <w:lang w:val="de-DE"/>
        </w:rPr>
        <w:t>Niedrigere Rendite auf das Eigenkapital (ROE) gegenüber den wichtigsten Peer‑Banks</w:t>
      </w:r>
    </w:p>
    <w:p w14:paraId="3C2792BA" w14:textId="77777777" w:rsidR="001916BB" w:rsidRPr="00412EA0" w:rsidRDefault="001916BB">
      <w:pPr>
        <w:rPr>
          <w:lang w:val="de-DE"/>
        </w:rPr>
      </w:pPr>
    </w:p>
    <w:p w14:paraId="5534B83E" w14:textId="77777777" w:rsidR="001916BB" w:rsidRDefault="00000000">
      <w:pPr>
        <w:pStyle w:val="Heading2"/>
      </w:pPr>
      <w:r>
        <w:t>SWOT Opportunities</w:t>
      </w:r>
    </w:p>
    <w:p w14:paraId="628D1816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1: </w:t>
      </w:r>
      <w:r w:rsidRPr="00412EA0">
        <w:rPr>
          <w:lang w:val="de-DE"/>
        </w:rPr>
        <w:t>Ausbau der Wealth‑Management-Dienste in Asien‑Pazifik, insbesondere China und Vietnam</w:t>
      </w:r>
    </w:p>
    <w:p w14:paraId="59E1DD9B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Führende Rolle im grünen Finanzierungsmarkt mit Euro‑Bond‑Emissionen für nachhaltige Projekte</w:t>
      </w:r>
    </w:p>
    <w:p w14:paraId="48FF6670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Strategische Partnerschaften mit FinTech‑Startups zur Beschleunigung von Open‑Banking</w:t>
      </w:r>
    </w:p>
    <w:p w14:paraId="0909BC72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4: </w:t>
      </w:r>
      <w:r w:rsidRPr="00412EA0">
        <w:rPr>
          <w:lang w:val="de-DE"/>
        </w:rPr>
        <w:t>Einführung von KI‑basierten Risiko‑ und Kreditentscheidungsmodellen zur Effizienzsteigerung</w:t>
      </w:r>
    </w:p>
    <w:p w14:paraId="558F0827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5: </w:t>
      </w:r>
      <w:r w:rsidRPr="00412EA0">
        <w:rPr>
          <w:lang w:val="de-DE"/>
        </w:rPr>
        <w:t>Nutzung von regulatorischen Anreizen für ESG‑bezogene Kreditvergaben in der EU</w:t>
      </w:r>
    </w:p>
    <w:p w14:paraId="6B38967C" w14:textId="77777777" w:rsidR="001916BB" w:rsidRPr="00412EA0" w:rsidRDefault="001916BB">
      <w:pPr>
        <w:rPr>
          <w:lang w:val="de-DE"/>
        </w:rPr>
      </w:pPr>
    </w:p>
    <w:p w14:paraId="74F1F679" w14:textId="77777777" w:rsidR="001916BB" w:rsidRDefault="00000000">
      <w:pPr>
        <w:pStyle w:val="Heading2"/>
      </w:pPr>
      <w:r>
        <w:lastRenderedPageBreak/>
        <w:t>SWOT Threats</w:t>
      </w:r>
    </w:p>
    <w:p w14:paraId="018981A9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1: </w:t>
      </w:r>
      <w:r w:rsidRPr="00412EA0">
        <w:rPr>
          <w:lang w:val="de-DE"/>
        </w:rPr>
        <w:t>Anhaltende makroökonomische Schwäche in der Eurozone reduziert Kreditnachfrage</w:t>
      </w:r>
    </w:p>
    <w:p w14:paraId="133FF40F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Steigende Zinsvolatilität erhöht Funding‑Kosten und beeinflusst Margen</w:t>
      </w:r>
    </w:p>
    <w:p w14:paraId="178297C1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Zunehmende Cyber‑Angriffe und Datenlecks bedrohen Kundendaten</w:t>
      </w:r>
    </w:p>
    <w:p w14:paraId="08047DDA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4: </w:t>
      </w:r>
      <w:r w:rsidRPr="00412EA0">
        <w:rPr>
          <w:lang w:val="de-DE"/>
        </w:rPr>
        <w:t>Wettbewerb durch rein digitale Neobanken mit niedrigeren Gebührenstrukturen</w:t>
      </w:r>
    </w:p>
    <w:p w14:paraId="2F5CCEE7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5: </w:t>
      </w:r>
      <w:r w:rsidRPr="00412EA0">
        <w:rPr>
          <w:lang w:val="de-DE"/>
        </w:rPr>
        <w:t>Verschärfte Basel‑IV‑Kapitalanforderungen erhöhen operative Belastungen</w:t>
      </w:r>
    </w:p>
    <w:p w14:paraId="167A46AE" w14:textId="77777777" w:rsidR="001916BB" w:rsidRPr="00412EA0" w:rsidRDefault="001916BB">
      <w:pPr>
        <w:rPr>
          <w:lang w:val="de-DE"/>
        </w:rPr>
      </w:pPr>
    </w:p>
    <w:p w14:paraId="6BF6395E" w14:textId="77777777" w:rsidR="001916BB" w:rsidRDefault="00000000">
      <w:pPr>
        <w:pStyle w:val="Heading2"/>
      </w:pPr>
      <w:r>
        <w:t>Value Chain</w:t>
      </w:r>
    </w:p>
    <w:p w14:paraId="6003BD86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1: </w:t>
      </w:r>
      <w:r w:rsidRPr="00412EA0">
        <w:rPr>
          <w:lang w:val="de-DE"/>
        </w:rPr>
        <w:t>Datenakquise und Marktanalyse als inbound logistics für maßgeschneiderte Produkte</w:t>
      </w:r>
    </w:p>
    <w:p w14:paraId="0A8AB558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Kernbankoperationen: Kreditvergabe, Handel und Asset‑Management als zentrale Wertschöpfung</w:t>
      </w:r>
    </w:p>
    <w:p w14:paraId="065BA785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Kundenzentrierte Distribution über digitale Plattformen und Filialnetz (outbound)</w:t>
      </w:r>
    </w:p>
    <w:p w14:paraId="053655CA" w14:textId="77777777" w:rsidR="001916BB" w:rsidRDefault="00000000">
      <w:pPr>
        <w:pStyle w:val="ListBullet"/>
      </w:pPr>
      <w:r>
        <w:rPr>
          <w:b/>
        </w:rPr>
        <w:t xml:space="preserve">Punkt 4: </w:t>
      </w:r>
      <w:r>
        <w:t>Cross‑selling und Relationship‑Management im Marketing‑ und Sales‑Segment</w:t>
      </w:r>
    </w:p>
    <w:p w14:paraId="1085C9E7" w14:textId="77777777" w:rsidR="001916BB" w:rsidRDefault="00000000">
      <w:pPr>
        <w:pStyle w:val="ListBullet"/>
      </w:pPr>
      <w:r>
        <w:rPr>
          <w:b/>
        </w:rPr>
        <w:t xml:space="preserve">Punkt 5: </w:t>
      </w:r>
      <w:r>
        <w:t>After‑sales Service: Wealth‑Advisory, Compliance‑Support und kontinuierliche Kundenbetreuung</w:t>
      </w:r>
    </w:p>
    <w:p w14:paraId="779F5A23" w14:textId="77777777" w:rsidR="001916BB" w:rsidRDefault="001916BB"/>
    <w:p w14:paraId="3751EBE6" w14:textId="77777777" w:rsidR="001916BB" w:rsidRDefault="00000000">
      <w:pPr>
        <w:pStyle w:val="Heading2"/>
      </w:pPr>
      <w:r>
        <w:t>Porter Analysis</w:t>
      </w:r>
    </w:p>
    <w:p w14:paraId="5CD3A1B5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1: </w:t>
      </w:r>
      <w:r w:rsidRPr="00412EA0">
        <w:rPr>
          <w:lang w:val="de-DE"/>
        </w:rPr>
        <w:t>Bedrohung durch neue digitale Wettbewerber bleibt hoch, jedoch durch Skaleneffekte und regulatorische Hürden gemindert</w:t>
      </w:r>
    </w:p>
    <w:p w14:paraId="3DEF7DB6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2: </w:t>
      </w:r>
      <w:r w:rsidRPr="00412EA0">
        <w:rPr>
          <w:lang w:val="de-DE"/>
        </w:rPr>
        <w:t>Lieferantenmacht (z.B. IT‑Provider, Datenanbieter) ist moderat, da mehrere alternative Anbieter verfügbar sind</w:t>
      </w:r>
    </w:p>
    <w:p w14:paraId="27B68A9B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3: </w:t>
      </w:r>
      <w:r w:rsidRPr="00412EA0">
        <w:rPr>
          <w:lang w:val="de-DE"/>
        </w:rPr>
        <w:t>Kundenmacht steigt, da Privat- und Geschäftskunden vermehrt nach kostengünstigen Online‑Lösungen suchen</w:t>
      </w:r>
    </w:p>
    <w:p w14:paraId="20F02DD5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4: </w:t>
      </w:r>
      <w:r w:rsidRPr="00412EA0">
        <w:rPr>
          <w:lang w:val="de-DE"/>
        </w:rPr>
        <w:t>Substitutionsgefahr durch alternative Finanzierungsformen wie Peer‑to‑Peer‑Lending und Kryptowährungen nimmt zu</w:t>
      </w:r>
    </w:p>
    <w:p w14:paraId="391B0FD5" w14:textId="77777777" w:rsidR="001916BB" w:rsidRPr="00412EA0" w:rsidRDefault="00000000">
      <w:pPr>
        <w:pStyle w:val="ListBullet"/>
        <w:rPr>
          <w:lang w:val="de-DE"/>
        </w:rPr>
      </w:pPr>
      <w:r w:rsidRPr="00412EA0">
        <w:rPr>
          <w:b/>
          <w:lang w:val="de-DE"/>
        </w:rPr>
        <w:t xml:space="preserve">Punkt 5: </w:t>
      </w:r>
      <w:r w:rsidRPr="00412EA0">
        <w:rPr>
          <w:lang w:val="de-DE"/>
        </w:rPr>
        <w:t>Wettbewerbsintensität unter den Global Players (HSBC, JPMorgan, BNP) ist stark, getrieben durch Margendruck und Innovationswettlauf</w:t>
      </w:r>
    </w:p>
    <w:p w14:paraId="5E3B34D8" w14:textId="77777777" w:rsidR="001916BB" w:rsidRPr="00412EA0" w:rsidRDefault="001916BB">
      <w:pPr>
        <w:rPr>
          <w:lang w:val="de-DE"/>
        </w:rPr>
      </w:pPr>
    </w:p>
    <w:sectPr w:rsidR="001916BB" w:rsidRPr="00412EA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F43C2" w14:textId="77777777" w:rsidR="00400065" w:rsidRDefault="00400065" w:rsidP="00412EA0">
      <w:pPr>
        <w:spacing w:after="0" w:line="240" w:lineRule="auto"/>
      </w:pPr>
      <w:r>
        <w:separator/>
      </w:r>
    </w:p>
  </w:endnote>
  <w:endnote w:type="continuationSeparator" w:id="0">
    <w:p w14:paraId="247FBCFC" w14:textId="77777777" w:rsidR="00400065" w:rsidRDefault="00400065" w:rsidP="0041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A2C3D" w14:textId="77777777" w:rsidR="00412EA0" w:rsidRDefault="00412E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10349" w14:textId="77777777" w:rsidR="00412EA0" w:rsidRDefault="00412E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4800E" w14:textId="77777777" w:rsidR="00412EA0" w:rsidRDefault="00412E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D2189B" w14:textId="77777777" w:rsidR="00400065" w:rsidRDefault="00400065" w:rsidP="00412EA0">
      <w:pPr>
        <w:spacing w:after="0" w:line="240" w:lineRule="auto"/>
      </w:pPr>
      <w:r>
        <w:separator/>
      </w:r>
    </w:p>
  </w:footnote>
  <w:footnote w:type="continuationSeparator" w:id="0">
    <w:p w14:paraId="5E848ED3" w14:textId="77777777" w:rsidR="00400065" w:rsidRDefault="00400065" w:rsidP="0041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5EFF" w14:textId="77402C62" w:rsidR="00412EA0" w:rsidRDefault="00412EA0">
    <w:pPr>
      <w:pStyle w:val="Header"/>
    </w:pPr>
    <w:r>
      <w:rPr>
        <w:noProof/>
      </w:rPr>
      <w:pict w14:anchorId="46BA61A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915047" o:spid="_x0000_s1026" type="#_x0000_t136" style="position:absolute;margin-left:0;margin-top:0;width:473.75pt;height:135.35pt;rotation:315;z-index:-251655168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D8214" w14:textId="7A95B2D4" w:rsidR="00412EA0" w:rsidRDefault="00412EA0">
    <w:pPr>
      <w:pStyle w:val="Header"/>
    </w:pPr>
    <w:r>
      <w:rPr>
        <w:noProof/>
      </w:rPr>
      <w:pict w14:anchorId="61A10DA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915048" o:spid="_x0000_s1027" type="#_x0000_t136" style="position:absolute;margin-left:0;margin-top:0;width:473.75pt;height:135.35pt;rotation:315;z-index:-251653120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A468F" w14:textId="36877753" w:rsidR="00412EA0" w:rsidRDefault="00412EA0">
    <w:pPr>
      <w:pStyle w:val="Header"/>
    </w:pPr>
    <w:r>
      <w:rPr>
        <w:noProof/>
      </w:rPr>
      <w:pict w14:anchorId="57CEE08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9915046" o:spid="_x0000_s1025" type="#_x0000_t136" style="position:absolute;margin-left:0;margin-top:0;width:473.75pt;height:135.35pt;rotation:315;z-index:-251657216;mso-position-horizontal:center;mso-position-horizontal-relative:margin;mso-position-vertical:center;mso-position-vertical-relative:margin" o:allowincell="f" fillcolor="#d99594 [1941]" stroked="f">
          <v:fill opacity=".5"/>
          <v:textpath style="font-family:&quot;Cambria&quot;;font-size:1pt" string="Sampl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630355">
    <w:abstractNumId w:val="8"/>
  </w:num>
  <w:num w:numId="2" w16cid:durableId="2004812771">
    <w:abstractNumId w:val="6"/>
  </w:num>
  <w:num w:numId="3" w16cid:durableId="1915893092">
    <w:abstractNumId w:val="5"/>
  </w:num>
  <w:num w:numId="4" w16cid:durableId="1202094059">
    <w:abstractNumId w:val="4"/>
  </w:num>
  <w:num w:numId="5" w16cid:durableId="1197697988">
    <w:abstractNumId w:val="7"/>
  </w:num>
  <w:num w:numId="6" w16cid:durableId="1388336318">
    <w:abstractNumId w:val="3"/>
  </w:num>
  <w:num w:numId="7" w16cid:durableId="1041055427">
    <w:abstractNumId w:val="2"/>
  </w:num>
  <w:num w:numId="8" w16cid:durableId="1052189454">
    <w:abstractNumId w:val="1"/>
  </w:num>
  <w:num w:numId="9" w16cid:durableId="1659454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16BB"/>
    <w:rsid w:val="0029639D"/>
    <w:rsid w:val="00326F90"/>
    <w:rsid w:val="00400065"/>
    <w:rsid w:val="00412EA0"/>
    <w:rsid w:val="00AA1D8D"/>
    <w:rsid w:val="00B47730"/>
    <w:rsid w:val="00CB0664"/>
    <w:rsid w:val="00CD788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05E0D0"/>
  <w14:defaultImageDpi w14:val="300"/>
  <w15:docId w15:val="{E3CBEE60-A5FA-4FEE-B61A-4F86380E6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Annika Sill</cp:lastModifiedBy>
  <cp:revision>2</cp:revision>
  <dcterms:created xsi:type="dcterms:W3CDTF">2026-08-19T19:32:00Z</dcterms:created>
  <dcterms:modified xsi:type="dcterms:W3CDTF">2026-08-19T19:32:00Z</dcterms:modified>
  <cp:category/>
</cp:coreProperties>
</file>