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6622" w14:textId="77777777" w:rsidR="00423BD7" w:rsidRPr="004C11F5" w:rsidRDefault="00000000">
      <w:pPr>
        <w:pStyle w:val="Heading1"/>
        <w:rPr>
          <w:lang w:val="de-DE"/>
        </w:rPr>
      </w:pPr>
      <w:r w:rsidRPr="004C11F5">
        <w:rPr>
          <w:lang w:val="de-DE"/>
        </w:rPr>
        <w:t>Modul 3: EU-Regulatorik Soll-Abgleich: Deutsche Bank AG (Live-Test)</w:t>
      </w:r>
    </w:p>
    <w:p w14:paraId="42EA2D13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Institut: Deutsche Bank AG | Jahr: 2026 | Fokus: DORA, AI Act, MiCAR &amp; CRR III Querschnitts-Audit</w:t>
      </w:r>
    </w:p>
    <w:p w14:paraId="2CCFFC28" w14:textId="77777777" w:rsidR="00423BD7" w:rsidRDefault="00000000">
      <w:r>
        <w:t>---</w:t>
      </w:r>
    </w:p>
    <w:p w14:paraId="42096498" w14:textId="77777777" w:rsidR="00423BD7" w:rsidRDefault="00000000">
      <w:pPr>
        <w:pStyle w:val="Heading2"/>
      </w:pPr>
      <w:r>
        <w:t>Key Regulations Overview</w:t>
      </w:r>
    </w:p>
    <w:p w14:paraId="7D6501CB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DORA (Digital Operational Resilience Act) – Verordnung (EU) 2022/2554:</w:t>
      </w:r>
    </w:p>
    <w:p w14:paraId="2702BC23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Etabliert einen verbindlichen unionsweiten Rahmen für die digitale operationelle Widerstandsfähigkeit im Finanzsektor mit strikten Vorgaben für IKT-Risikomanagement und Vorfallmeldung bei der Deutschen Bank AG.</w:t>
      </w:r>
    </w:p>
    <w:p w14:paraId="2EF85A11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EU AI Act (Künstliche Intelligenz-Verordnung) – Verordnung (EU) 2024/1689:</w:t>
      </w:r>
    </w:p>
    <w:p w14:paraId="08A3FF5E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Reguliert den Einsatz von KI-Systemen nach Risikoklassen; stuft automatisierte Kreditvergabe- und Bonitätsprüfungssysteme als Hochrisiko-KI ein.</w:t>
      </w:r>
    </w:p>
    <w:p w14:paraId="16886DAD" w14:textId="77777777" w:rsidR="00423BD7" w:rsidRDefault="00000000">
      <w:pPr>
        <w:pStyle w:val="ListBullet"/>
      </w:pPr>
      <w:r>
        <w:t>MiCAR (Markets in Crypto-Assets Regulation) – Verordnung (EU) 2023/1114:</w:t>
      </w:r>
    </w:p>
    <w:p w14:paraId="0AE445FD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Schafft einen einheitlichen Rechtsrahmen für Krypto-Werte, Krypto-Asset-Dienstleister und Emittenten digitaler Assets.</w:t>
      </w:r>
    </w:p>
    <w:p w14:paraId="725DC0F7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CRR III / Basel IV – Verordnung (EU) 2024/...:</w:t>
      </w:r>
    </w:p>
    <w:p w14:paraId="11C0BD91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Implementiert die finalen Basel-III-Reformen zur Harmonisierung der Eigenkapitalanforderungen, Risikogewichte und Einführung von Output-Floors.</w:t>
      </w:r>
    </w:p>
    <w:p w14:paraId="2A3524A4" w14:textId="77777777" w:rsidR="00423BD7" w:rsidRPr="004C11F5" w:rsidRDefault="00423BD7">
      <w:pPr>
        <w:rPr>
          <w:lang w:val="de-DE"/>
        </w:rPr>
      </w:pPr>
    </w:p>
    <w:p w14:paraId="53CB6D8F" w14:textId="77777777" w:rsidR="00423BD7" w:rsidRPr="004C11F5" w:rsidRDefault="00000000">
      <w:pPr>
        <w:pStyle w:val="Heading2"/>
        <w:rPr>
          <w:lang w:val="de-DE"/>
        </w:rPr>
      </w:pPr>
      <w:r w:rsidRPr="004C11F5">
        <w:rPr>
          <w:lang w:val="de-DE"/>
        </w:rPr>
        <w:t>Regulatory Focus</w:t>
      </w:r>
    </w:p>
    <w:p w14:paraId="3E36F9D1" w14:textId="77777777" w:rsidR="00423BD7" w:rsidRPr="004C11F5" w:rsidRDefault="00000000">
      <w:pPr>
        <w:rPr>
          <w:lang w:val="de-DE"/>
        </w:rPr>
      </w:pPr>
      <w:r w:rsidRPr="004C11F5">
        <w:rPr>
          <w:lang w:val="de-DE"/>
        </w:rPr>
        <w:t>Das gewählte Fokusthema für Deutsche Bank AG (2026) umfasst den regulatorischen Gesamt-Querschnitt aus DORA, EU AI Act, MiCAR und CRR III. Im Mittelpunkt steht die ganzheitliche Überprüfung der digitalen Resilienz, der algorithmischen Compliance von KI-Modellen sowie der kapital- und governance-rechtlichen Integration von Krypto-Dienstleistungen und neuen Eigenkapitalstandards.</w:t>
      </w:r>
    </w:p>
    <w:p w14:paraId="5E1A8BDC" w14:textId="77777777" w:rsidR="00423BD7" w:rsidRPr="004C11F5" w:rsidRDefault="00423BD7">
      <w:pPr>
        <w:rPr>
          <w:lang w:val="de-DE"/>
        </w:rPr>
      </w:pPr>
    </w:p>
    <w:p w14:paraId="3B7454F5" w14:textId="77777777" w:rsidR="00423BD7" w:rsidRDefault="00000000">
      <w:pPr>
        <w:pStyle w:val="Heading2"/>
      </w:pPr>
      <w:r>
        <w:t>Mandatory Requirements</w:t>
      </w:r>
    </w:p>
    <w:p w14:paraId="78EC1344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DORA (Kapitel II-IV, Art. 5–16 &amp; Art. 28):</w:t>
      </w:r>
    </w:p>
    <w:p w14:paraId="13AC16DC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Etablierung eines umfassenden IKT-Risikomanagementrahmens.</w:t>
      </w:r>
    </w:p>
    <w:p w14:paraId="4BF5B2D7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Lückenlose Führung des Registers of Information für sämtliche IKT-Drittparteienverträge.</w:t>
      </w:r>
    </w:p>
    <w:p w14:paraId="2BDAAF6F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Durchführung fortgeschrittener Bedrohungstests (TLPT) alle 3 Jahre.</w:t>
      </w:r>
    </w:p>
    <w:p w14:paraId="7F88FA2E" w14:textId="77777777" w:rsidR="00423BD7" w:rsidRDefault="00000000">
      <w:pPr>
        <w:pStyle w:val="ListBullet"/>
      </w:pPr>
      <w:r>
        <w:lastRenderedPageBreak/>
        <w:t>EU AI Act (Art. 6, 10, 11, 14 &amp; 72):</w:t>
      </w:r>
    </w:p>
    <w:p w14:paraId="44F2B424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Klassifizierung von Retail-Scoring-Modellen als Hochrisiko-KI (Anhang III).</w:t>
      </w:r>
    </w:p>
    <w:p w14:paraId="2DF5A59E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Einhaltung strenger Data-Governance-Standards zur Vermeidung von Bias.</w:t>
      </w:r>
    </w:p>
    <w:p w14:paraId="43DF5E63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Sicherstellung der menschlichen Aufsicht ('Human-in-the-Loop') und lückenloser Protokollierung im Audit-Trail.</w:t>
      </w:r>
    </w:p>
    <w:p w14:paraId="6B34DA72" w14:textId="77777777" w:rsidR="00423BD7" w:rsidRDefault="00000000">
      <w:pPr>
        <w:pStyle w:val="ListBullet"/>
      </w:pPr>
      <w:r>
        <w:t>CRR III &amp; MiCAR:</w:t>
      </w:r>
    </w:p>
    <w:p w14:paraId="65AD497D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Verbindliche Einhaltung der Output-Floor-Vorgaben für interne Modelle.</w:t>
      </w:r>
    </w:p>
    <w:p w14:paraId="43E926D6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Implementierung von Governance-Protokollen für Krypto-Asset-Dienstleistungen.</w:t>
      </w:r>
    </w:p>
    <w:p w14:paraId="6283C531" w14:textId="77777777" w:rsidR="00423BD7" w:rsidRPr="004C11F5" w:rsidRDefault="00423BD7">
      <w:pPr>
        <w:rPr>
          <w:lang w:val="de-DE"/>
        </w:rPr>
      </w:pPr>
    </w:p>
    <w:p w14:paraId="7430E6C1" w14:textId="77777777" w:rsidR="00423BD7" w:rsidRDefault="00000000">
      <w:pPr>
        <w:pStyle w:val="Heading2"/>
      </w:pPr>
      <w:r>
        <w:t>Technical Compliance</w:t>
      </w:r>
    </w:p>
    <w:p w14:paraId="131160EB" w14:textId="77777777" w:rsidR="00423BD7" w:rsidRPr="004C11F5" w:rsidRDefault="00000000">
      <w:pPr>
        <w:rPr>
          <w:lang w:val="de-DE"/>
        </w:rPr>
      </w:pPr>
      <w:r>
        <w:t xml:space="preserve">Status: Partiell konform (Gap-Level Gelb). </w:t>
      </w:r>
      <w:r w:rsidRPr="004C11F5">
        <w:rPr>
          <w:lang w:val="de-DE"/>
        </w:rPr>
        <w:t>Kritische APIs und Kernbanken-Schnittstellen der Deutschen Bank AG sind verschlüsselt; jedoch weist das zentrale Vendor-Risk-Management-System (DORA Register of Information gem. Art. 28) manuelle Konsolidierungsbrüche auf. Die Erklärbarkeit (Explainable AI / XAI) von ML-basierten Kreditentscheidungsmodellen ist technisch implementiert, muss jedoch für den AI-Act-Audit lückenlos im Audit-Trail protokolliert werden.</w:t>
      </w:r>
    </w:p>
    <w:p w14:paraId="1CBFD2F1" w14:textId="77777777" w:rsidR="00423BD7" w:rsidRPr="004C11F5" w:rsidRDefault="00423BD7">
      <w:pPr>
        <w:rPr>
          <w:lang w:val="de-DE"/>
        </w:rPr>
      </w:pPr>
    </w:p>
    <w:p w14:paraId="060C2A8A" w14:textId="77777777" w:rsidR="00423BD7" w:rsidRDefault="00000000">
      <w:pPr>
        <w:pStyle w:val="Heading2"/>
      </w:pPr>
      <w:r>
        <w:t>Gap Risks</w:t>
      </w:r>
    </w:p>
    <w:p w14:paraId="1BC8B272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Regulatorische Sanktionen und Bußgelder durch die EZB/BaFin bei unvollständiger Dokumentation der IKT-Lieferkettenverträge (DORA Art. 30).</w:t>
      </w:r>
    </w:p>
    <w:p w14:paraId="7D728FBC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Rechtliche Unwirksamkeit automatisierter Kreditablehnungen bei fehlender Erfüllung der Transparenz- und menschlichen Interventionspflichten nach EU AI Act Art. 14.</w:t>
      </w:r>
    </w:p>
    <w:p w14:paraId="2F0114B6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Reputationsschäden und temporäre Untersagung des Betriebs von KI-gestützten Scoring-Modellen.</w:t>
      </w:r>
    </w:p>
    <w:p w14:paraId="578455DE" w14:textId="77777777" w:rsidR="00423BD7" w:rsidRPr="004C11F5" w:rsidRDefault="00423BD7">
      <w:pPr>
        <w:rPr>
          <w:lang w:val="de-DE"/>
        </w:rPr>
      </w:pPr>
    </w:p>
    <w:p w14:paraId="0ADF17FE" w14:textId="77777777" w:rsidR="00423BD7" w:rsidRDefault="00000000">
      <w:pPr>
        <w:pStyle w:val="Heading2"/>
      </w:pPr>
      <w:r>
        <w:t>Action Recommendations</w:t>
      </w:r>
    </w:p>
    <w:p w14:paraId="2BA825CB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Sofortige Etablierung eines zentralen DORA-konformen IKT-Drittparteien-Dashboards (Register of Information) bis Q3/2026.</w:t>
      </w:r>
    </w:p>
    <w:p w14:paraId="6CBEB143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Durchführung eines formalen Konformitätsbewertungsverfahrens für alle produktiven High-Risk-KI-Modelle im Retail-Scoring gem. EU AI Act Art. 43.</w:t>
      </w:r>
    </w:p>
    <w:p w14:paraId="6AA35358" w14:textId="77777777" w:rsidR="00423BD7" w:rsidRPr="004C11F5" w:rsidRDefault="00000000">
      <w:pPr>
        <w:pStyle w:val="ListBullet"/>
        <w:rPr>
          <w:lang w:val="de-DE"/>
        </w:rPr>
      </w:pPr>
      <w:r w:rsidRPr="004C11F5">
        <w:rPr>
          <w:lang w:val="de-DE"/>
        </w:rPr>
        <w:t>Aktualisierung der internen MaRisk- und BAIT/VAIT-Arbeitsanweisungen zur nahtlosen Integration der neuen EU-Vorgaben.</w:t>
      </w:r>
    </w:p>
    <w:p w14:paraId="16C1487D" w14:textId="77777777" w:rsidR="00423BD7" w:rsidRPr="004C11F5" w:rsidRDefault="00423BD7">
      <w:pPr>
        <w:rPr>
          <w:lang w:val="de-DE"/>
        </w:rPr>
      </w:pPr>
    </w:p>
    <w:sectPr w:rsidR="00423BD7" w:rsidRPr="004C11F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9644" w14:textId="77777777" w:rsidR="009A3FA0" w:rsidRDefault="009A3FA0" w:rsidP="004C11F5">
      <w:pPr>
        <w:spacing w:after="0" w:line="240" w:lineRule="auto"/>
      </w:pPr>
      <w:r>
        <w:separator/>
      </w:r>
    </w:p>
  </w:endnote>
  <w:endnote w:type="continuationSeparator" w:id="0">
    <w:p w14:paraId="44E96427" w14:textId="77777777" w:rsidR="009A3FA0" w:rsidRDefault="009A3FA0" w:rsidP="004C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7638" w14:textId="77777777" w:rsidR="004C11F5" w:rsidRDefault="004C1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28C4" w14:textId="77777777" w:rsidR="004C11F5" w:rsidRDefault="004C11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31D3" w14:textId="77777777" w:rsidR="004C11F5" w:rsidRDefault="004C1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B2CA2" w14:textId="77777777" w:rsidR="009A3FA0" w:rsidRDefault="009A3FA0" w:rsidP="004C11F5">
      <w:pPr>
        <w:spacing w:after="0" w:line="240" w:lineRule="auto"/>
      </w:pPr>
      <w:r>
        <w:separator/>
      </w:r>
    </w:p>
  </w:footnote>
  <w:footnote w:type="continuationSeparator" w:id="0">
    <w:p w14:paraId="09CD5657" w14:textId="77777777" w:rsidR="009A3FA0" w:rsidRDefault="009A3FA0" w:rsidP="004C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E12E9" w14:textId="595C11E1" w:rsidR="004C11F5" w:rsidRDefault="004C11F5">
    <w:pPr>
      <w:pStyle w:val="Header"/>
    </w:pPr>
    <w:r>
      <w:rPr>
        <w:noProof/>
      </w:rPr>
      <w:pict w14:anchorId="39219B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26001" o:spid="_x0000_s1026" type="#_x0000_t136" style="position:absolute;margin-left:0;margin-top:0;width:473.75pt;height:135.35pt;rotation:315;z-index:-251655168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AA09" w14:textId="2E234FE0" w:rsidR="004C11F5" w:rsidRDefault="004C11F5">
    <w:pPr>
      <w:pStyle w:val="Header"/>
    </w:pPr>
    <w:r>
      <w:rPr>
        <w:noProof/>
      </w:rPr>
      <w:pict w14:anchorId="0F398E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26002" o:spid="_x0000_s1027" type="#_x0000_t136" style="position:absolute;margin-left:0;margin-top:0;width:473.75pt;height:135.35pt;rotation:315;z-index:-251653120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6C26" w14:textId="51615F39" w:rsidR="004C11F5" w:rsidRDefault="004C11F5">
    <w:pPr>
      <w:pStyle w:val="Header"/>
    </w:pPr>
    <w:r>
      <w:rPr>
        <w:noProof/>
      </w:rPr>
      <w:pict w14:anchorId="225FD4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26000" o:spid="_x0000_s1025" type="#_x0000_t136" style="position:absolute;margin-left:0;margin-top:0;width:473.75pt;height:135.35pt;rotation:315;z-index:-251657216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43224">
    <w:abstractNumId w:val="8"/>
  </w:num>
  <w:num w:numId="2" w16cid:durableId="131212660">
    <w:abstractNumId w:val="6"/>
  </w:num>
  <w:num w:numId="3" w16cid:durableId="29115912">
    <w:abstractNumId w:val="5"/>
  </w:num>
  <w:num w:numId="4" w16cid:durableId="516504177">
    <w:abstractNumId w:val="4"/>
  </w:num>
  <w:num w:numId="5" w16cid:durableId="1118063335">
    <w:abstractNumId w:val="7"/>
  </w:num>
  <w:num w:numId="6" w16cid:durableId="584605510">
    <w:abstractNumId w:val="3"/>
  </w:num>
  <w:num w:numId="7" w16cid:durableId="1495805378">
    <w:abstractNumId w:val="2"/>
  </w:num>
  <w:num w:numId="8" w16cid:durableId="1176651683">
    <w:abstractNumId w:val="1"/>
  </w:num>
  <w:num w:numId="9" w16cid:durableId="145116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BB2"/>
    <w:rsid w:val="0029639D"/>
    <w:rsid w:val="00326F90"/>
    <w:rsid w:val="00423BD7"/>
    <w:rsid w:val="004C11F5"/>
    <w:rsid w:val="009A3FA0"/>
    <w:rsid w:val="00AA1D8D"/>
    <w:rsid w:val="00B47730"/>
    <w:rsid w:val="00CB0664"/>
    <w:rsid w:val="00CD78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9A494D"/>
  <w14:defaultImageDpi w14:val="300"/>
  <w15:docId w15:val="{E3CBEE60-A5FA-4FEE-B61A-4F86380E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Annika Sill</cp:lastModifiedBy>
  <cp:revision>3</cp:revision>
  <dcterms:created xsi:type="dcterms:W3CDTF">2026-08-19T19:32:00Z</dcterms:created>
  <dcterms:modified xsi:type="dcterms:W3CDTF">2026-08-19T19:33:00Z</dcterms:modified>
  <cp:category/>
</cp:coreProperties>
</file>