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7AC18" w14:textId="77777777" w:rsidR="0008734C" w:rsidRPr="00FD54F5" w:rsidRDefault="00000000">
      <w:pPr>
        <w:pStyle w:val="Heading1"/>
        <w:rPr>
          <w:lang w:val="de-DE"/>
        </w:rPr>
      </w:pPr>
      <w:r w:rsidRPr="00FD54F5">
        <w:rPr>
          <w:lang w:val="de-DE"/>
        </w:rPr>
        <w:t>Modul 4: Integrierte GAP-Analyse: Deutsche Bank AG (Live-Test)</w:t>
      </w:r>
    </w:p>
    <w:p w14:paraId="3FF20855" w14:textId="77777777" w:rsidR="0008734C" w:rsidRPr="00FD54F5" w:rsidRDefault="00000000">
      <w:pPr>
        <w:rPr>
          <w:lang w:val="de-DE"/>
        </w:rPr>
      </w:pPr>
      <w:r w:rsidRPr="00FD54F5">
        <w:rPr>
          <w:lang w:val="de-DE"/>
        </w:rPr>
        <w:t>Institut: Deutsche Bank AG | Jahr: 2026 | Fokus: Gesamt-Querschnitt (DORA, AI Act, MiCAR, CRR III)</w:t>
      </w:r>
    </w:p>
    <w:p w14:paraId="43368935" w14:textId="77777777" w:rsidR="0008734C" w:rsidRPr="00FD54F5" w:rsidRDefault="00000000">
      <w:pPr>
        <w:rPr>
          <w:lang w:val="de-DE"/>
        </w:rPr>
      </w:pPr>
      <w:r w:rsidRPr="00FD54F5">
        <w:rPr>
          <w:lang w:val="de-DE"/>
        </w:rPr>
        <w:t>---</w:t>
      </w:r>
    </w:p>
    <w:p w14:paraId="1E3A986A" w14:textId="77777777" w:rsidR="0008734C" w:rsidRPr="00FD54F5" w:rsidRDefault="00000000">
      <w:pPr>
        <w:pStyle w:val="Heading2"/>
        <w:rPr>
          <w:lang w:val="de-DE"/>
        </w:rPr>
      </w:pPr>
      <w:r w:rsidRPr="00FD54F5">
        <w:rPr>
          <w:lang w:val="de-DE"/>
        </w:rPr>
        <w:t>Executive Summary</w:t>
      </w:r>
    </w:p>
    <w:p w14:paraId="48F5CC09" w14:textId="77777777" w:rsidR="0008734C" w:rsidRPr="00FD54F5" w:rsidRDefault="00000000">
      <w:pPr>
        <w:rPr>
          <w:lang w:val="de-DE"/>
        </w:rPr>
      </w:pPr>
      <w:r w:rsidRPr="00FD54F5">
        <w:rPr>
          <w:lang w:val="de-DE"/>
        </w:rPr>
        <w:t>Die Deutsche Bank AG operiert im Jahr 2026 in einem volatilen Marktumfeld, geprägt durch CRR III, DORA, MiCAR und den EU AI Act. Ohne beschleunigte Cloud-Harmonisierung und den Aufbau eines zentralen Governance-Monitors drohen regulatorische Sanktionen.</w:t>
      </w:r>
    </w:p>
    <w:p w14:paraId="18A15195" w14:textId="77777777" w:rsidR="0008734C" w:rsidRPr="00FD54F5" w:rsidRDefault="0008734C">
      <w:pPr>
        <w:rPr>
          <w:lang w:val="de-DE"/>
        </w:rPr>
      </w:pPr>
    </w:p>
    <w:p w14:paraId="7FC39293" w14:textId="77777777" w:rsidR="0008734C" w:rsidRPr="00FD54F5" w:rsidRDefault="00000000">
      <w:pPr>
        <w:pStyle w:val="Heading2"/>
        <w:rPr>
          <w:lang w:val="de-DE"/>
        </w:rPr>
      </w:pPr>
      <w:r w:rsidRPr="00FD54F5">
        <w:rPr>
          <w:lang w:val="de-DE"/>
        </w:rPr>
        <w:t>Macro Micro Synthesis</w:t>
      </w:r>
    </w:p>
    <w:p w14:paraId="0CDAFC41" w14:textId="77777777" w:rsidR="0008734C" w:rsidRDefault="00000000">
      <w:r w:rsidRPr="00FD54F5">
        <w:rPr>
          <w:lang w:val="de-DE"/>
        </w:rPr>
        <w:t xml:space="preserve">Makroökonomische Transformationsdrücke verstärken interne Mikro-Schwächen der Bank. </w:t>
      </w:r>
      <w:r>
        <w:t>Eine Modernisierung der Kernbankenarchitektur ist essenziell.</w:t>
      </w:r>
    </w:p>
    <w:p w14:paraId="480BFDFD" w14:textId="77777777" w:rsidR="0008734C" w:rsidRDefault="0008734C"/>
    <w:p w14:paraId="0F1BAB7B" w14:textId="77777777" w:rsidR="0008734C" w:rsidRDefault="00000000">
      <w:pPr>
        <w:pStyle w:val="Heading2"/>
      </w:pPr>
      <w:r>
        <w:t>Regulatory Target Actual Comparison</w:t>
      </w:r>
    </w:p>
    <w:p w14:paraId="338E359F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DORA: Register of Information (Art. 28) weisen Lücken auf.</w:t>
      </w:r>
    </w:p>
    <w:p w14:paraId="71ABE77B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EU AI Act: Fehlt lückenlose Audit-Trail-Verankerung für XAI.</w:t>
      </w:r>
    </w:p>
    <w:p w14:paraId="6ADC47E7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MiCAR &amp; CRR III: Output-Floor-Anpassungen erfordern Systemupdates.</w:t>
      </w:r>
    </w:p>
    <w:p w14:paraId="1FBF4A41" w14:textId="77777777" w:rsidR="0008734C" w:rsidRPr="00FD54F5" w:rsidRDefault="0008734C">
      <w:pPr>
        <w:rPr>
          <w:lang w:val="de-DE"/>
        </w:rPr>
      </w:pPr>
    </w:p>
    <w:p w14:paraId="0890514B" w14:textId="77777777" w:rsidR="0008734C" w:rsidRDefault="00000000">
      <w:pPr>
        <w:pStyle w:val="Heading2"/>
      </w:pPr>
      <w:r>
        <w:t>Identified Gaps</w:t>
      </w:r>
    </w:p>
    <w:p w14:paraId="238B6E22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GAP 1: Fehlendes Echtzeit-Monitoring für IKT-Drittparteien gem. DORA.</w:t>
      </w:r>
    </w:p>
    <w:p w14:paraId="370CD78F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GAP 2: Mangelnde formale Konformitätsdokumentation für KI im Kreditscoring.</w:t>
      </w:r>
    </w:p>
    <w:p w14:paraId="02B64E30" w14:textId="77777777" w:rsidR="0008734C" w:rsidRPr="00FD54F5" w:rsidRDefault="0008734C">
      <w:pPr>
        <w:rPr>
          <w:lang w:val="de-DE"/>
        </w:rPr>
      </w:pPr>
    </w:p>
    <w:p w14:paraId="26E2349F" w14:textId="77777777" w:rsidR="0008734C" w:rsidRDefault="00000000">
      <w:pPr>
        <w:pStyle w:val="Heading2"/>
      </w:pPr>
      <w:r>
        <w:t>Action Recommendations</w:t>
      </w:r>
    </w:p>
    <w:p w14:paraId="4F097F8B" w14:textId="77777777" w:rsidR="0008734C" w:rsidRDefault="00000000">
      <w:pPr>
        <w:pStyle w:val="ListBullet"/>
      </w:pPr>
      <w:r>
        <w:t>Implementierung des Vendor-Risk-Dashboards (Frist: Q3/2026).</w:t>
      </w:r>
    </w:p>
    <w:p w14:paraId="3A6EE8CA" w14:textId="77777777" w:rsidR="0008734C" w:rsidRPr="00FD54F5" w:rsidRDefault="00000000">
      <w:pPr>
        <w:pStyle w:val="ListBullet"/>
        <w:rPr>
          <w:lang w:val="de-DE"/>
        </w:rPr>
      </w:pPr>
      <w:r w:rsidRPr="00FD54F5">
        <w:rPr>
          <w:lang w:val="de-DE"/>
        </w:rPr>
        <w:t>Konformitätsbewertung für High-Risk-KI-Modelle abschließen.</w:t>
      </w:r>
    </w:p>
    <w:p w14:paraId="4BE5596F" w14:textId="77777777" w:rsidR="0008734C" w:rsidRPr="00FD54F5" w:rsidRDefault="0008734C">
      <w:pPr>
        <w:rPr>
          <w:lang w:val="de-DE"/>
        </w:rPr>
      </w:pPr>
    </w:p>
    <w:sectPr w:rsidR="0008734C" w:rsidRPr="00FD54F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CBA52" w14:textId="77777777" w:rsidR="00515CFB" w:rsidRDefault="00515CFB" w:rsidP="00FD54F5">
      <w:pPr>
        <w:spacing w:after="0" w:line="240" w:lineRule="auto"/>
      </w:pPr>
      <w:r>
        <w:separator/>
      </w:r>
    </w:p>
  </w:endnote>
  <w:endnote w:type="continuationSeparator" w:id="0">
    <w:p w14:paraId="770D2F6C" w14:textId="77777777" w:rsidR="00515CFB" w:rsidRDefault="00515CFB" w:rsidP="00FD5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14EA2" w14:textId="77777777" w:rsidR="00FD54F5" w:rsidRDefault="00FD54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551F" w14:textId="77777777" w:rsidR="00FD54F5" w:rsidRDefault="00FD54F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351C" w14:textId="77777777" w:rsidR="00FD54F5" w:rsidRDefault="00FD54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8965F" w14:textId="77777777" w:rsidR="00515CFB" w:rsidRDefault="00515CFB" w:rsidP="00FD54F5">
      <w:pPr>
        <w:spacing w:after="0" w:line="240" w:lineRule="auto"/>
      </w:pPr>
      <w:r>
        <w:separator/>
      </w:r>
    </w:p>
  </w:footnote>
  <w:footnote w:type="continuationSeparator" w:id="0">
    <w:p w14:paraId="0995B83F" w14:textId="77777777" w:rsidR="00515CFB" w:rsidRDefault="00515CFB" w:rsidP="00FD5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D9181" w14:textId="277EA7C8" w:rsidR="00FD54F5" w:rsidRDefault="00FD54F5">
    <w:pPr>
      <w:pStyle w:val="Header"/>
    </w:pPr>
    <w:r>
      <w:rPr>
        <w:noProof/>
      </w:rPr>
      <w:pict w14:anchorId="09B608D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63516" o:spid="_x0000_s1026" type="#_x0000_t136" style="position:absolute;margin-left:0;margin-top:0;width:473.75pt;height:135.35pt;rotation:315;z-index:-251655168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3E123" w14:textId="3B053611" w:rsidR="00FD54F5" w:rsidRDefault="00FD54F5">
    <w:pPr>
      <w:pStyle w:val="Header"/>
    </w:pPr>
    <w:r>
      <w:rPr>
        <w:noProof/>
      </w:rPr>
      <w:pict w14:anchorId="2A6335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63517" o:spid="_x0000_s1027" type="#_x0000_t136" style="position:absolute;margin-left:0;margin-top:0;width:473.75pt;height:135.35pt;rotation:315;z-index:-251653120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6890" w14:textId="5E38EA70" w:rsidR="00FD54F5" w:rsidRDefault="00FD54F5">
    <w:pPr>
      <w:pStyle w:val="Header"/>
    </w:pPr>
    <w:r>
      <w:rPr>
        <w:noProof/>
      </w:rPr>
      <w:pict w14:anchorId="73B412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063515" o:spid="_x0000_s1025" type="#_x0000_t136" style="position:absolute;margin-left:0;margin-top:0;width:473.75pt;height:135.35pt;rotation:315;z-index:-251657216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160017">
    <w:abstractNumId w:val="8"/>
  </w:num>
  <w:num w:numId="2" w16cid:durableId="605121459">
    <w:abstractNumId w:val="6"/>
  </w:num>
  <w:num w:numId="3" w16cid:durableId="622929531">
    <w:abstractNumId w:val="5"/>
  </w:num>
  <w:num w:numId="4" w16cid:durableId="488449448">
    <w:abstractNumId w:val="4"/>
  </w:num>
  <w:num w:numId="5" w16cid:durableId="360327027">
    <w:abstractNumId w:val="7"/>
  </w:num>
  <w:num w:numId="6" w16cid:durableId="1843086902">
    <w:abstractNumId w:val="3"/>
  </w:num>
  <w:num w:numId="7" w16cid:durableId="269631579">
    <w:abstractNumId w:val="2"/>
  </w:num>
  <w:num w:numId="8" w16cid:durableId="1594977001">
    <w:abstractNumId w:val="1"/>
  </w:num>
  <w:num w:numId="9" w16cid:durableId="1708025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34C"/>
    <w:rsid w:val="0015074B"/>
    <w:rsid w:val="0029639D"/>
    <w:rsid w:val="00326F90"/>
    <w:rsid w:val="00515CFB"/>
    <w:rsid w:val="00AA1D8D"/>
    <w:rsid w:val="00B47730"/>
    <w:rsid w:val="00CB0664"/>
    <w:rsid w:val="00CD7883"/>
    <w:rsid w:val="00FC693F"/>
    <w:rsid w:val="00FD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2AB756"/>
  <w14:defaultImageDpi w14:val="300"/>
  <w15:docId w15:val="{E3CBEE60-A5FA-4FEE-B61A-4F86380E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Annika Sill</cp:lastModifiedBy>
  <cp:revision>2</cp:revision>
  <dcterms:created xsi:type="dcterms:W3CDTF">2026-08-19T19:34:00Z</dcterms:created>
  <dcterms:modified xsi:type="dcterms:W3CDTF">2026-08-19T19:34:00Z</dcterms:modified>
  <cp:category/>
</cp:coreProperties>
</file>